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729352A" w:rsidR="004D5AB1" w:rsidRPr="00644418" w:rsidRDefault="00383D9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Akrobacie – kotoul</w:t>
            </w:r>
            <w:r w:rsidR="00EB3B87">
              <w:t xml:space="preserve"> vpřed,</w:t>
            </w:r>
            <w:r w:rsidRPr="00C44286">
              <w:t xml:space="preserve"> vzad</w:t>
            </w:r>
            <w:r w:rsidR="00EB3B87">
              <w:t>, varianty kotoulů. Přemet stranou,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>Šplh na tyči, laně, 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5DFA9F4E" w14:textId="77777777" w:rsidR="00C75DA9" w:rsidRDefault="0080189F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80189F">
              <w:t>Přetahy a přetlaky</w:t>
            </w:r>
          </w:p>
          <w:p w14:paraId="3646D9DE" w14:textId="5483C3C7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D</w:t>
            </w:r>
            <w:r w:rsidR="0080189F" w:rsidRPr="0080189F">
              <w:t>ruhy a techniky úpolových sportů</w:t>
            </w:r>
            <w:r w:rsidR="0080189F" w:rsidRPr="00C75DA9">
              <w:rPr>
                <w:b/>
                <w:sz w:val="24"/>
              </w:rPr>
              <w:t xml:space="preserve">     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44F2AF1E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 xml:space="preserve">, řízená hra, utkání. </w:t>
            </w:r>
            <w:r w:rsidR="00C75DA9">
              <w:t>R</w:t>
            </w:r>
            <w:r w:rsidR="008C25C4">
              <w:t>ozhodování</w:t>
            </w:r>
          </w:p>
          <w:p w14:paraId="0370DDC4" w14:textId="33FD5BC9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hra. Utkání,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32D02FC7" w:rsidR="006E07CF" w:rsidRPr="007925AA" w:rsidRDefault="007925AA" w:rsidP="00C75DA9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 w:rsidRPr="007925AA">
              <w:rPr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  <w:r w:rsidR="008C25C4"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83D99"/>
    <w:rsid w:val="003C7D8F"/>
    <w:rsid w:val="00415226"/>
    <w:rsid w:val="004176B8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1E9C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QYJ6VK6WDPCP-2026886553-440362</_dlc_DocId>
    <_dlc_DocIdUrl xmlns="9d0ca0cf-2a35-4d1a-8451-71dcfb90f667">
      <Url>https://skolahostivar.sharepoint.com/sites/data/_layouts/15/DocIdRedir.aspx?ID=QYJ6VK6WDPCP-2026886553-440362</Url>
      <Description>QYJ6VK6WDPCP-2026886553-440362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B971B999-272F-4C6A-9BFF-FA896789D483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2025-06-04T14:53:00Z</dcterms:created>
  <dcterms:modified xsi:type="dcterms:W3CDTF">2025-06-04T14:54:00Z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edb20065-3c38-4f35-87b2-278655cf197b</vt:lpwstr>
  </property>
  <property fmtid="{D5CDD505-2E9C-101B-9397-08002B2CF9AE}" pid="5" name="MediaServiceImageTags">
    <vt:lpwstr/>
  </property>
</Properties>
</file>