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832E67" w14:paraId="04AB89E1" w14:textId="469B21D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Hardware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7112ED4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86650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19B2C92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r w:rsidR="00034D9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6</w:t>
                  </w:r>
                  <w:r w:rsidR="00BE001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426B8A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832E6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32E67" w:rsidP="00832E67" w:rsidRDefault="00832E67" w14:paraId="237EF2B0" w14:textId="626EC384">
            <w:pPr>
              <w:pStyle w:val="Nadpis2"/>
            </w:pPr>
            <w:r>
              <w:t>Úvodní hodina</w:t>
            </w:r>
          </w:p>
          <w:p w:rsidR="00832E67" w:rsidP="00832E67" w:rsidRDefault="00832E67" w14:paraId="58311D42" w14:textId="58F2418A">
            <w:pPr>
              <w:pStyle w:val="Odstavecseseznamem"/>
            </w:pPr>
            <w:r>
              <w:t>Řád učebny</w:t>
            </w:r>
          </w:p>
          <w:p w:rsidR="00832E67" w:rsidP="00832E67" w:rsidRDefault="00832E67" w14:paraId="6F3C4637" w14:textId="5371D378">
            <w:pPr>
              <w:pStyle w:val="Odstavecseseznamem"/>
            </w:pPr>
            <w:r>
              <w:t>Pravidla školní sítě</w:t>
            </w:r>
          </w:p>
          <w:p w:rsidR="00832E67" w:rsidP="00832E67" w:rsidRDefault="00832E67" w14:paraId="765E92A1" w14:textId="039E79CB">
            <w:pPr>
              <w:pStyle w:val="Odstavecseseznamem"/>
            </w:pPr>
            <w:r>
              <w:t>Učivo předmětu</w:t>
            </w:r>
          </w:p>
          <w:p w:rsidRPr="003C7D8F" w:rsidR="001D0490" w:rsidP="00832E67" w:rsidRDefault="00832E67" w14:paraId="2480E55C" w14:textId="7D246B7F">
            <w:pPr>
              <w:pStyle w:val="Odstavecseseznamem"/>
            </w:pPr>
            <w:r>
              <w:t>Pomůcky</w:t>
            </w:r>
            <w:r w:rsidRPr="003C7D8F"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FEBB324" w14:textId="7777777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9F6CFD" w14:paraId="1044592D" w14:textId="53ED099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3C7D8F" w:rsidR="006E07CF" w:rsidP="006E07CF" w:rsidRDefault="006E07CF" w14:paraId="726FB54C" w14:textId="6BA5420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428B2676" w14:textId="5761045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3487CBB7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589F00D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66EF743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0B4A72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42239A09" w14:textId="0562EF95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  <w:r w:rsidR="001D0490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 xml:space="preserve"> </w:t>
            </w:r>
          </w:p>
          <w:p w:rsidRPr="003C7D8F" w:rsidR="006E07CF" w:rsidP="006E07CF" w:rsidRDefault="006E07CF" w14:paraId="6F4F4E76" w14:textId="765EF91D">
            <w:pPr>
              <w:pStyle w:val="Normlntun"/>
              <w:rPr>
                <w:b/>
              </w:rPr>
            </w:pPr>
          </w:p>
        </w:tc>
      </w:tr>
      <w:tr w:rsidRPr="003C7D8F" w:rsidR="006E07CF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32E67" w:rsidP="00832E67" w:rsidRDefault="00832E67" w14:paraId="5E321229" w14:textId="1E70FCB8">
            <w:pPr>
              <w:pStyle w:val="Nadpis2"/>
            </w:pPr>
            <w:r>
              <w:t>Typy přenosů</w:t>
            </w:r>
          </w:p>
          <w:p w:rsidRPr="00832E67" w:rsidR="00832E67" w:rsidP="00832E67" w:rsidRDefault="00832E67" w14:paraId="41EF92A0" w14:textId="33A58E86">
            <w:pPr>
              <w:pStyle w:val="Odstavecseseznamem"/>
            </w:pPr>
            <w:r w:rsidRPr="00832E67">
              <w:t>Přenosy dat v sítích, symetrický přenos</w:t>
            </w:r>
          </w:p>
          <w:p w:rsidRPr="00832E67" w:rsidR="00832E67" w:rsidP="00832E67" w:rsidRDefault="00832E67" w14:paraId="1ED8D4E6" w14:textId="111B780E">
            <w:pPr>
              <w:pStyle w:val="Odstavecseseznamem"/>
            </w:pPr>
            <w:r w:rsidRPr="00832E67">
              <w:t>Nesymetrický přenos, základní přenosy</w:t>
            </w:r>
          </w:p>
          <w:p w:rsidRPr="00832E67" w:rsidR="00832E67" w:rsidP="00832E67" w:rsidRDefault="00832E67" w14:paraId="7F6C4E0C" w14:textId="63691226">
            <w:pPr>
              <w:pStyle w:val="Odstavecseseznamem"/>
            </w:pPr>
            <w:r w:rsidRPr="00832E67">
              <w:t>Vzdálenosti používané protokoly, rychlosti, počty komunikačních jednotek na těchto sítích</w:t>
            </w:r>
          </w:p>
          <w:p w:rsidRPr="00832E67" w:rsidR="00832E67" w:rsidP="00832E67" w:rsidRDefault="00832E67" w14:paraId="78FB2209" w14:textId="447D30DD">
            <w:pPr>
              <w:pStyle w:val="Odstavecseseznamem"/>
            </w:pPr>
            <w:r w:rsidRPr="00832E67">
              <w:t>Komunikace jednotlivých architektur</w:t>
            </w:r>
          </w:p>
          <w:p w:rsidRPr="003C7D8F" w:rsidR="006E07CF" w:rsidP="00832E67" w:rsidRDefault="00832E67" w14:paraId="6623FEEE" w14:textId="52604D80">
            <w:pPr>
              <w:pStyle w:val="Odstavecseseznamem"/>
            </w:pPr>
            <w:r w:rsidRPr="009F6CFD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DF7D7CA" w14:textId="0066D541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1C6C9F" w14:paraId="781E265D" w14:textId="2508417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:rsidRPr="003C7D8F" w:rsidR="006E07CF" w:rsidP="006E07CF" w:rsidRDefault="006E07CF" w14:paraId="0B3FC0DB" w14:textId="3DE307C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27D63F57" w14:textId="02B868B0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7B10C9A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4E1536C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1EE45D1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39D5316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42D4E64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6148C5C5" w14:textId="0138CCAD">
            <w:pPr>
              <w:pStyle w:val="Normlntun"/>
              <w:rPr>
                <w:b/>
              </w:rPr>
            </w:pPr>
          </w:p>
        </w:tc>
      </w:tr>
      <w:tr w:rsidRPr="003C7D8F" w:rsidR="006E07CF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32E67" w:rsidP="00832E67" w:rsidRDefault="00832E67" w14:paraId="0D5F03FF" w14:textId="37E8090B">
            <w:pPr>
              <w:pStyle w:val="Nadpis2"/>
            </w:pPr>
            <w:r>
              <w:t>Přenosy dat</w:t>
            </w:r>
          </w:p>
          <w:p w:rsidR="00832E67" w:rsidP="0068114F" w:rsidRDefault="00832E67" w14:paraId="1128F7AD" w14:textId="6BBD8B2F">
            <w:pPr>
              <w:pStyle w:val="Odstavecseseznamem"/>
            </w:pPr>
            <w:r>
              <w:t>Protokol RS232, jeho úrovně, zakázané pásmo</w:t>
            </w:r>
          </w:p>
          <w:p w:rsidR="00832E67" w:rsidP="0068114F" w:rsidRDefault="00832E67" w14:paraId="6BB25780" w14:textId="237EC511">
            <w:pPr>
              <w:pStyle w:val="Odstavecseseznamem"/>
            </w:pPr>
            <w:r>
              <w:t>Šumová imunita, dosah přenosu RS232</w:t>
            </w:r>
          </w:p>
          <w:p w:rsidR="00832E67" w:rsidP="0068114F" w:rsidRDefault="00832E67" w14:paraId="33D3B76C" w14:textId="23E98981">
            <w:pPr>
              <w:pStyle w:val="Odstavecseseznamem"/>
            </w:pPr>
            <w:r>
              <w:t>Použitý port, praktické aplikace</w:t>
            </w:r>
          </w:p>
          <w:p w:rsidRPr="003C7D8F" w:rsidR="006E07CF" w:rsidP="0068114F" w:rsidRDefault="00832E67" w14:paraId="275B0A63" w14:textId="0FEBF50A">
            <w:pPr>
              <w:pStyle w:val="Odstavecseseznamem"/>
            </w:pPr>
            <w:r w:rsidRPr="009F6CFD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AAA47FC" w14:textId="77777777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1C6C9F" w14:paraId="21988E74" w14:textId="0A1A79A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6E07CF" w:rsidRDefault="006E07CF" w14:paraId="48BCC49D" w14:textId="49AEDD5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0CCF9BD9" w14:textId="77FE36A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  <w:r w:rsidRPr="003C7D8F">
              <w:t xml:space="preserve"> </w:t>
            </w:r>
            <w:r w:rsidRPr="003C7D8F" w:rsidR="006E07C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69E06FD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6230B63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01CA837F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51233EC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502B64F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139A7B06" w14:textId="28413D7B">
            <w:pPr>
              <w:pStyle w:val="Normlntun"/>
            </w:pPr>
          </w:p>
        </w:tc>
      </w:tr>
      <w:tr w:rsidRPr="003C7D8F" w:rsidR="006E07CF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32E67" w:rsidP="00832E67" w:rsidRDefault="00832E67" w14:paraId="182B1CCC" w14:textId="4A190C6A">
            <w:pPr>
              <w:pStyle w:val="Nadpis2"/>
            </w:pPr>
            <w:r>
              <w:t>Protokoly</w:t>
            </w:r>
          </w:p>
          <w:p w:rsidR="00832E67" w:rsidP="0068114F" w:rsidRDefault="00832E67" w14:paraId="48FC6BD1" w14:textId="651617D3">
            <w:pPr>
              <w:pStyle w:val="Odstavecseseznamem"/>
            </w:pPr>
            <w:r>
              <w:t>Protokol 485 elektrické hodnoty, použití pro přenosové sítě, rychlost</w:t>
            </w:r>
          </w:p>
          <w:p w:rsidR="00832E67" w:rsidP="0068114F" w:rsidRDefault="00832E67" w14:paraId="16C10320" w14:textId="25EA8BF2">
            <w:pPr>
              <w:pStyle w:val="Odstavecseseznamem"/>
            </w:pPr>
            <w:r>
              <w:t>Počty vysílačů, přijímačů, koncové členy</w:t>
            </w:r>
          </w:p>
          <w:p w:rsidRPr="00801556" w:rsidR="00832E67" w:rsidP="0068114F" w:rsidRDefault="00832E67" w14:paraId="05A1A012" w14:textId="613415AC">
            <w:pPr>
              <w:pStyle w:val="Odstavecseseznamem"/>
              <w:rPr>
                <w:color w:val="FF0000"/>
              </w:rPr>
            </w:pPr>
            <w:r w:rsidRPr="00801556">
              <w:rPr>
                <w:color w:val="FF0000"/>
              </w:rPr>
              <w:t>Test</w:t>
            </w:r>
          </w:p>
          <w:p w:rsidRPr="003C7D8F" w:rsidR="006E07CF" w:rsidP="009F6CFD" w:rsidRDefault="006E07CF" w14:paraId="06F37E1C" w14:textId="19AA0023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639B2FE" w14:textId="43B53473">
            <w:pPr>
              <w:pStyle w:val="Normlntun"/>
            </w:pPr>
            <w:r w:rsidRPr="003C7D8F"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C75163" w14:paraId="2E94844E" w14:textId="299E771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6E07CF" w:rsidRDefault="006E07CF" w14:paraId="5B69C029" w14:textId="546D862D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14708" w14:paraId="5AFE2A4E" w14:textId="33D87F83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5416496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760AA51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116D72A7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2ED422C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1B47B37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63A9D5D7" w14:textId="08D0FA12">
            <w:pPr>
              <w:pStyle w:val="Normlntun"/>
            </w:pPr>
          </w:p>
        </w:tc>
      </w:tr>
      <w:tr w:rsidRPr="003C7D8F" w:rsidR="006E07CF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32E67" w:rsidP="00832E67" w:rsidRDefault="00832E67" w14:paraId="63DF4594" w14:textId="0D2EDA81">
            <w:pPr>
              <w:pStyle w:val="Nadpis2"/>
            </w:pPr>
            <w:r>
              <w:t>Vnitřní sběrnice v IT</w:t>
            </w:r>
          </w:p>
          <w:p w:rsidR="00832E67" w:rsidP="0068114F" w:rsidRDefault="00832E67" w14:paraId="077D1D67" w14:textId="5E252D99">
            <w:pPr>
              <w:pStyle w:val="Odstavecseseznamem"/>
            </w:pPr>
            <w:r>
              <w:t>Přenos I2C, HW uspořádání, SW protokol signálu, blokově princip, schéma</w:t>
            </w:r>
          </w:p>
          <w:p w:rsidR="00832E67" w:rsidP="0068114F" w:rsidRDefault="00832E67" w14:paraId="65DDBBB4" w14:textId="53533686">
            <w:pPr>
              <w:pStyle w:val="Odstavecseseznamem"/>
            </w:pPr>
            <w:r>
              <w:t>SPI</w:t>
            </w:r>
          </w:p>
          <w:p w:rsidR="00832E67" w:rsidP="0068114F" w:rsidRDefault="00832E67" w14:paraId="0676C694" w14:textId="00C0C36C">
            <w:pPr>
              <w:pStyle w:val="Odstavecseseznamem"/>
            </w:pPr>
            <w:r>
              <w:t>Praktické použití</w:t>
            </w:r>
          </w:p>
          <w:p w:rsidR="00832E67" w:rsidP="0068114F" w:rsidRDefault="00832E67" w14:paraId="15ACDB9C" w14:textId="201568BA">
            <w:pPr>
              <w:pStyle w:val="Odstavecseseznamem"/>
            </w:pPr>
            <w:r>
              <w:t>Přístup k paměti</w:t>
            </w:r>
          </w:p>
          <w:p w:rsidRPr="003C7D8F" w:rsidR="002A639C" w:rsidP="0068114F" w:rsidRDefault="00832E67" w14:paraId="252E226A" w14:textId="18090C72">
            <w:pPr>
              <w:pStyle w:val="Odstavecseseznamem"/>
            </w:pPr>
            <w:r w:rsidRPr="00B044A7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9F6CFD" w14:paraId="75EB03B0" w14:textId="0CE45C63">
            <w:pPr>
              <w:pStyle w:val="Normlntun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9F6CFD" w14:paraId="53F96635" w14:textId="5D4ADDA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6E07CF" w:rsidRDefault="006E07CF" w14:paraId="46B44B5E" w14:textId="08C16210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DBC3DE7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3986" w:rsidR="00614708" w:rsidP="00614708" w:rsidRDefault="00614708" w14:paraId="163428F9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614708" w:rsidP="00614708" w:rsidRDefault="00614708" w14:paraId="6A14859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614708" w:rsidP="00614708" w:rsidRDefault="00614708" w14:paraId="3054CC7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614708" w:rsidP="00614708" w:rsidRDefault="00614708" w14:paraId="4035B5D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614708" w:rsidP="00614708" w:rsidRDefault="00614708" w14:paraId="678D0E0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3C7D8F" w:rsidR="006E07CF" w:rsidP="006E07CF" w:rsidRDefault="006E07CF" w14:paraId="099F77DA" w14:textId="56DDCDFC">
            <w:pPr>
              <w:pStyle w:val="Normlntun"/>
            </w:pPr>
          </w:p>
        </w:tc>
      </w:tr>
      <w:tr w:rsidRPr="003C7D8F" w:rsidR="009F6CFD" w:rsidTr="006E07CF" w14:paraId="47998AC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6CCC" w:rsidP="004C6CCC" w:rsidRDefault="004C6CCC" w14:paraId="1CF7E00B" w14:textId="77777777">
            <w:pPr>
              <w:pStyle w:val="Nadpis2"/>
            </w:pPr>
            <w:r>
              <w:t>Výstupní porty PC</w:t>
            </w:r>
          </w:p>
          <w:p w:rsidR="004C6CCC" w:rsidP="004C6CCC" w:rsidRDefault="004C6CCC" w14:paraId="6C5AB6EC" w14:textId="77777777">
            <w:pPr>
              <w:pStyle w:val="Odstavecseseznamem"/>
            </w:pPr>
            <w:r>
              <w:t>Porty počítače PC, zatížitelnost, dosah, souvislost se šumovou imunitou a TTL logikou</w:t>
            </w:r>
          </w:p>
          <w:p w:rsidR="004C6CCC" w:rsidP="004C6CCC" w:rsidRDefault="004C6CCC" w14:paraId="6F286D06" w14:textId="77777777">
            <w:pPr>
              <w:pStyle w:val="Odstavecseseznamem"/>
            </w:pPr>
            <w:r>
              <w:t>Rychlost přenosu, protokol předávání dat, spolupráce při styku s tiskárnou</w:t>
            </w:r>
          </w:p>
          <w:p w:rsidR="004C6CCC" w:rsidP="004C6CCC" w:rsidRDefault="004C6CCC" w14:paraId="7CEB7198" w14:textId="77777777">
            <w:pPr>
              <w:pStyle w:val="Odstavecseseznamem"/>
            </w:pPr>
            <w:r>
              <w:t>USB, HDMI, atd.</w:t>
            </w:r>
          </w:p>
          <w:p w:rsidR="004C6CCC" w:rsidP="004C6CCC" w:rsidRDefault="004C6CCC" w14:paraId="6F71BC24" w14:textId="77777777">
            <w:pPr>
              <w:pStyle w:val="Odstavecseseznamem"/>
            </w:pPr>
            <w:r>
              <w:t>Periferie</w:t>
            </w:r>
          </w:p>
          <w:p w:rsidRPr="002A639C" w:rsidR="004C6CCC" w:rsidP="004C6CCC" w:rsidRDefault="004C6CCC" w14:paraId="632B58D7" w14:textId="794BAEE1">
            <w:pPr>
              <w:pStyle w:val="Odstavecseseznamem"/>
            </w:pPr>
            <w:r w:rsidRPr="00B044A7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4D94" w:rsidP="00034D94" w:rsidRDefault="009F6CFD" w14:paraId="7454B16C" w14:textId="77777777">
            <w:pPr>
              <w:pStyle w:val="Normlntun"/>
            </w:pPr>
            <w:r>
              <w:t>Leden</w:t>
            </w:r>
            <w:r w:rsidR="00034D94">
              <w:t>,</w:t>
            </w:r>
          </w:p>
          <w:p w:rsidRPr="00034D94" w:rsidR="00034D94" w:rsidP="00034D94" w:rsidRDefault="00034D94" w14:paraId="10FC1290" w14:textId="2A1EA2B5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034D94" w14:paraId="3160EBB7" w14:textId="078300E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9F6CFD" w14:paraId="6E3F974E" w14:textId="46681519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9F6CFD" w:rsidP="009F6CFD" w:rsidRDefault="009F6CFD" w14:paraId="5769001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9F6CFD" w:rsidP="009F6CFD" w:rsidRDefault="009F6CFD" w14:paraId="7234DF52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9F6CFD" w:rsidP="009F6CFD" w:rsidRDefault="009F6CFD" w14:paraId="716847B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9F6CFD" w:rsidP="009F6CFD" w:rsidRDefault="009F6CFD" w14:paraId="48954713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9F6CFD" w:rsidP="009F6CFD" w:rsidRDefault="009F6CFD" w14:paraId="21D471E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9F6CFD" w:rsidP="009F6CFD" w:rsidRDefault="009F6CFD" w14:paraId="189C84A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9F6CFD" w:rsidTr="006E07CF" w14:paraId="58D8D93B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6CCC" w:rsidP="004C6CCC" w:rsidRDefault="004C6CCC" w14:paraId="60D70081" w14:textId="77777777">
            <w:pPr>
              <w:pStyle w:val="Nadpis2"/>
            </w:pPr>
            <w:r>
              <w:t>Princip funkce a komunikace procesoru</w:t>
            </w:r>
          </w:p>
          <w:p w:rsidR="004C6CCC" w:rsidP="004C6CCC" w:rsidRDefault="004C6CCC" w14:paraId="333B51C5" w14:textId="77777777">
            <w:pPr>
              <w:pStyle w:val="Odstavecseseznamem"/>
            </w:pPr>
            <w:r>
              <w:t>Sběrnice a princip činnosti PC, označení sběrnic ve schématech</w:t>
            </w:r>
          </w:p>
          <w:p w:rsidR="004C6CCC" w:rsidP="004C6CCC" w:rsidRDefault="004C6CCC" w14:paraId="05BCC48B" w14:textId="77777777">
            <w:pPr>
              <w:pStyle w:val="Odstavecseseznamem"/>
            </w:pPr>
            <w:r>
              <w:t>Typy sběrnic v praxi, multiplexní sběrnice, základní komponenty na sběrnicích</w:t>
            </w:r>
          </w:p>
          <w:p w:rsidR="004C6CCC" w:rsidP="004C6CCC" w:rsidRDefault="004C6CCC" w14:paraId="35CCB109" w14:textId="77777777">
            <w:pPr>
              <w:pStyle w:val="Odstavecseseznamem"/>
            </w:pPr>
            <w:r>
              <w:t>Specifikace procesorů, uspořádání paměti</w:t>
            </w:r>
          </w:p>
          <w:p w:rsidRPr="002A639C" w:rsidR="009F6CFD" w:rsidP="00D544C3" w:rsidRDefault="004C6CCC" w14:paraId="35E89A92" w14:textId="3F0CD6AA">
            <w:pPr>
              <w:pStyle w:val="Odstavecseseznamem"/>
            </w:pPr>
            <w:r w:rsidRPr="00801556">
              <w:rPr>
                <w:color w:val="FF0000"/>
              </w:rPr>
              <w:t>Test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252D72" w14:paraId="377EB38C" w14:textId="3616D1C7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C75163" w14:paraId="12BAD9E7" w14:textId="287F648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9F6CFD" w14:paraId="254636CE" w14:textId="76E497C3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9F6CFD" w:rsidP="009F6CFD" w:rsidRDefault="009F6CFD" w14:paraId="5DF2ED0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9F6CFD" w:rsidP="009F6CFD" w:rsidRDefault="009F6CFD" w14:paraId="4B7BE8C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9F6CFD" w:rsidP="009F6CFD" w:rsidRDefault="009F6CFD" w14:paraId="6B9D0B5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9F6CFD" w:rsidP="009F6CFD" w:rsidRDefault="009F6CFD" w14:paraId="02C87FD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9F6CFD" w:rsidP="009F6CFD" w:rsidRDefault="009F6CFD" w14:paraId="60DD2B5A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9F6CFD" w:rsidP="009F6CFD" w:rsidRDefault="009F6CFD" w14:paraId="11B1460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9F6CFD" w:rsidTr="006E07CF" w14:paraId="14B53F1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6CFD" w:rsidP="009F6CFD" w:rsidRDefault="009F6CFD" w14:paraId="5C4E289B" w14:textId="0DCA2090">
            <w:pPr>
              <w:pStyle w:val="Nadpis2"/>
            </w:pPr>
            <w:r>
              <w:t>Tvorba sítí</w:t>
            </w:r>
          </w:p>
          <w:p w:rsidR="009F6CFD" w:rsidP="009F6CFD" w:rsidRDefault="009F6CFD" w14:paraId="3D789E3F" w14:textId="0058CECD">
            <w:pPr>
              <w:pStyle w:val="Odstavecseseznamem"/>
            </w:pPr>
            <w:r>
              <w:t>Náhradní schéma přenosového vedení, článek T a Pí jednotlivé prvky</w:t>
            </w:r>
          </w:p>
          <w:p w:rsidR="009F6CFD" w:rsidP="009F6CFD" w:rsidRDefault="009F6CFD" w14:paraId="575BABDB" w14:textId="3D6B6E9E">
            <w:pPr>
              <w:pStyle w:val="Odstavecseseznamem"/>
            </w:pPr>
            <w:r>
              <w:t>Metoda pro odvození maximální přenosové rychlosti, praktické měření</w:t>
            </w:r>
          </w:p>
          <w:p w:rsidR="009F6CFD" w:rsidP="009F6CFD" w:rsidRDefault="009F6CFD" w14:paraId="72DCC9A5" w14:textId="423706AA">
            <w:pPr>
              <w:pStyle w:val="Odstavecseseznamem"/>
            </w:pPr>
            <w:r>
              <w:t>Čidla, optoelektronika</w:t>
            </w:r>
          </w:p>
          <w:p w:rsidR="009F6CFD" w:rsidP="009F6CFD" w:rsidRDefault="009F6CFD" w14:paraId="1B30BE06" w14:textId="2463F77B">
            <w:pPr>
              <w:pStyle w:val="Odstavecseseznamem"/>
            </w:pPr>
            <w:r>
              <w:t>Druhy kódování</w:t>
            </w:r>
          </w:p>
          <w:p w:rsidRPr="00801556" w:rsidR="009F6CFD" w:rsidP="009F6CFD" w:rsidRDefault="009F6CFD" w14:paraId="37F6A20E" w14:textId="11152499">
            <w:pPr>
              <w:pStyle w:val="Odstavecseseznamem"/>
              <w:rPr>
                <w:color w:val="FF0000"/>
              </w:rPr>
            </w:pPr>
            <w:r w:rsidRPr="00801556">
              <w:rPr>
                <w:color w:val="FF0000"/>
              </w:rPr>
              <w:t>Test</w:t>
            </w:r>
          </w:p>
          <w:p w:rsidRPr="002A639C" w:rsidR="009F6CFD" w:rsidP="009F6CFD" w:rsidRDefault="009F6CFD" w14:paraId="66219F3B" w14:textId="0BB3BD91">
            <w:pPr>
              <w:pStyle w:val="Odstavecseseznamem"/>
            </w:pPr>
            <w:r>
              <w:t>Q Kontrola klasifikace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4C6CCC" w14:paraId="32E69564" w14:textId="17B6EE39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801556" w14:paraId="52FDF9F0" w14:textId="24894055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9F6CFD" w14:paraId="746A5981" w14:textId="3A9F177D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9F6CFD" w:rsidP="009F6CFD" w:rsidRDefault="009F6CFD" w14:paraId="1EAE066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9F6CFD" w:rsidP="009F6CFD" w:rsidRDefault="009F6CFD" w14:paraId="1537F96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9F6CFD" w:rsidP="009F6CFD" w:rsidRDefault="009F6CFD" w14:paraId="1F66C9E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9F6CFD" w:rsidP="009F6CFD" w:rsidRDefault="009F6CFD" w14:paraId="455D0161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9F6CFD" w:rsidP="009F6CFD" w:rsidRDefault="009F6CFD" w14:paraId="1C0ACB3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9F6CFD" w:rsidP="009F6CFD" w:rsidRDefault="009F6CFD" w14:paraId="2EF8AA97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9F6CFD" w:rsidTr="006E07CF" w14:paraId="3C5ACD4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6CFD" w:rsidP="009F6CFD" w:rsidRDefault="009F6CFD" w14:paraId="75E35E4A" w14:textId="0F98CBD2">
            <w:pPr>
              <w:pStyle w:val="Nadpis2"/>
            </w:pPr>
            <w:r>
              <w:t>Přenos analogové informace v síti</w:t>
            </w:r>
          </w:p>
          <w:p w:rsidR="009F6CFD" w:rsidP="009F6CFD" w:rsidRDefault="009F6CFD" w14:paraId="2EA52ABB" w14:textId="6277D1B3">
            <w:pPr>
              <w:pStyle w:val="Odstavecseseznamem"/>
            </w:pPr>
            <w:r>
              <w:t>Aktivní prvky z hlediska HW</w:t>
            </w:r>
          </w:p>
          <w:p w:rsidR="009F6CFD" w:rsidP="009F6CFD" w:rsidRDefault="009F6CFD" w14:paraId="11650680" w14:textId="378B6E56">
            <w:pPr>
              <w:pStyle w:val="Odstavecseseznamem"/>
            </w:pPr>
            <w:r>
              <w:t>Přenos analogového signálu, dosah</w:t>
            </w:r>
          </w:p>
          <w:p w:rsidRPr="002A639C" w:rsidR="009F6CFD" w:rsidP="00801556" w:rsidRDefault="009F6CFD" w14:paraId="64E66296" w14:textId="6B04F0A3">
            <w:pPr>
              <w:pStyle w:val="Odstavecseseznamem"/>
            </w:pPr>
            <w:r>
              <w:t>Proudová smyčka 0-20mA, smyčka 4-20 mA, výpočet, 20 mA, ostatní rozsahy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252D72" w14:paraId="756107F4" w14:textId="5BB8DA52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034D94" w14:paraId="267B1853" w14:textId="434F55A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9F6CFD" w:rsidP="009F6CFD" w:rsidRDefault="009F6CFD" w14:paraId="5B60E538" w14:textId="0454F5CC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9F6CFD" w:rsidP="009F6CFD" w:rsidRDefault="009F6CFD" w14:paraId="0267E13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9F6CFD" w:rsidP="009F6CFD" w:rsidRDefault="009F6CFD" w14:paraId="6637C0BD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9F6CFD" w:rsidP="009F6CFD" w:rsidRDefault="009F6CFD" w14:paraId="03E9F0A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9F6CFD" w:rsidP="009F6CFD" w:rsidRDefault="009F6CFD" w14:paraId="40C0EC10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9F6CFD" w:rsidP="009F6CFD" w:rsidRDefault="009F6CFD" w14:paraId="442CF5A8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9F6CFD" w:rsidP="009F6CFD" w:rsidRDefault="009F6CFD" w14:paraId="2F46709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  <w:tr w:rsidRPr="003C7D8F" w:rsidR="00C9169D" w:rsidTr="006E07CF" w14:paraId="1BD79EE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9169D" w:rsidP="00C9169D" w:rsidRDefault="00C9169D" w14:paraId="5C03DEE4" w14:textId="7DC91060">
            <w:pPr>
              <w:pStyle w:val="Nadpis2"/>
            </w:pPr>
            <w:r w:rsidRPr="00C9169D">
              <w:t>Písemné práce, prověřování učiva a alternativní hromadné vysvětlování učiva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9169D" w:rsidP="00C9169D" w:rsidRDefault="00C9169D" w14:paraId="1B8ABC0E" w14:textId="5C9158AF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C9169D" w:rsidP="00C9169D" w:rsidRDefault="00252D72" w14:paraId="345D15CA" w14:textId="55F1C098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C9169D" w:rsidP="00C9169D" w:rsidRDefault="00C9169D" w14:paraId="7219C2C4" w14:textId="656F8DA4">
            <w:pPr>
              <w:pStyle w:val="Normlntun"/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3986" w:rsidR="00C9169D" w:rsidP="00C9169D" w:rsidRDefault="00C9169D" w14:paraId="5F857484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</w:rPr>
              <w:t>Učebnice</w:t>
            </w:r>
          </w:p>
          <w:p w:rsidRPr="00E03986" w:rsidR="00C9169D" w:rsidP="00C9169D" w:rsidRDefault="00C9169D" w14:paraId="1DD3DDE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Dataprojektor</w:t>
            </w:r>
          </w:p>
          <w:p w:rsidRPr="00E03986" w:rsidR="00C9169D" w:rsidP="00C9169D" w:rsidRDefault="00C9169D" w14:paraId="63F564C6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Web</w:t>
            </w:r>
          </w:p>
          <w:p w:rsidRPr="00E03986" w:rsidR="00C9169D" w:rsidP="00C9169D" w:rsidRDefault="00C9169D" w14:paraId="5827E90E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PC</w:t>
            </w:r>
          </w:p>
          <w:p w:rsidRPr="00E03986" w:rsidR="00C9169D" w:rsidP="00C9169D" w:rsidRDefault="00C9169D" w14:paraId="0E2491DC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03986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Laboratorní pomůcky</w:t>
            </w:r>
          </w:p>
          <w:p w:rsidRPr="00E03986" w:rsidR="00C9169D" w:rsidP="00C9169D" w:rsidRDefault="00C9169D" w14:paraId="6151D7FB" w14:textId="77777777">
            <w:pPr>
              <w:spacing w:after="0" w:line="240" w:lineRule="auto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33B1356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A639C">
        <w:rPr>
          <w:rFonts w:asciiTheme="majorHAnsi" w:hAnsiTheme="majorHAnsi" w:cstheme="minorHAnsi"/>
          <w:sz w:val="20"/>
          <w:szCs w:val="20"/>
        </w:rPr>
        <w:t>Ing. Ladislav Musel</w:t>
      </w:r>
    </w:p>
    <w:p w:rsidRPr="003C7D8F" w:rsidR="007278BC" w:rsidP="59D0B63E" w:rsidRDefault="007278BC" w14:paraId="5F218B63" w14:textId="59DFD704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77ED851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177ED851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177ED851" w:rsidR="67B0B7D2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="233FBD07" w:rsidP="177ED851" w:rsidRDefault="233FBD07" w14:paraId="6439980B" w14:textId="07E26773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177ED851" w:rsidR="233FBD07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77ED851" w:rsidR="233FBD07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77ED851" w:rsidP="177ED851" w:rsidRDefault="177ED851" w14:paraId="4906B20D" w14:textId="5B0BF00F">
      <w:pPr>
        <w:spacing w:before="120"/>
        <w:rPr>
          <w:rFonts w:ascii="Franklin Gothic Book" w:hAnsi="Franklin Gothic Book" w:cs="Franklin Gothic Book" w:cstheme="minorAscii"/>
          <w:b w:val="1"/>
          <w:bCs w:val="1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977" w:rsidP="00F70B10" w:rsidRDefault="000C0977" w14:paraId="62FFCB2A" w14:textId="77777777">
      <w:pPr>
        <w:spacing w:after="0" w:line="240" w:lineRule="auto"/>
      </w:pPr>
      <w:r>
        <w:separator/>
      </w:r>
    </w:p>
  </w:endnote>
  <w:endnote w:type="continuationSeparator" w:id="0">
    <w:p w:rsidR="000C0977" w:rsidP="00F70B10" w:rsidRDefault="000C0977" w14:paraId="524F38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977" w:rsidP="00F70B10" w:rsidRDefault="000C0977" w14:paraId="3E9F54EA" w14:textId="77777777">
      <w:pPr>
        <w:spacing w:after="0" w:line="240" w:lineRule="auto"/>
      </w:pPr>
      <w:r>
        <w:separator/>
      </w:r>
    </w:p>
  </w:footnote>
  <w:footnote w:type="continuationSeparator" w:id="0">
    <w:p w:rsidR="000C0977" w:rsidP="00F70B10" w:rsidRDefault="000C0977" w14:paraId="10882B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262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4072">
    <w:abstractNumId w:val="1"/>
  </w:num>
  <w:num w:numId="2" w16cid:durableId="1877740320">
    <w:abstractNumId w:val="0"/>
  </w:num>
  <w:num w:numId="3" w16cid:durableId="589047288">
    <w:abstractNumId w:val="3"/>
  </w:num>
  <w:num w:numId="4" w16cid:durableId="2133282613">
    <w:abstractNumId w:val="2"/>
  </w:num>
  <w:num w:numId="5" w16cid:durableId="180322680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4D94"/>
    <w:rsid w:val="000504B9"/>
    <w:rsid w:val="00097751"/>
    <w:rsid w:val="000C0977"/>
    <w:rsid w:val="000F0FC3"/>
    <w:rsid w:val="001155BB"/>
    <w:rsid w:val="00122CF6"/>
    <w:rsid w:val="00132278"/>
    <w:rsid w:val="00143C1D"/>
    <w:rsid w:val="001A503E"/>
    <w:rsid w:val="001B55FC"/>
    <w:rsid w:val="001C6C9F"/>
    <w:rsid w:val="001D0490"/>
    <w:rsid w:val="001D4D71"/>
    <w:rsid w:val="001E164B"/>
    <w:rsid w:val="001E59D8"/>
    <w:rsid w:val="001F3302"/>
    <w:rsid w:val="0020264A"/>
    <w:rsid w:val="0023160B"/>
    <w:rsid w:val="00252D72"/>
    <w:rsid w:val="0025467F"/>
    <w:rsid w:val="002820DA"/>
    <w:rsid w:val="002A639C"/>
    <w:rsid w:val="002B1A89"/>
    <w:rsid w:val="002F0802"/>
    <w:rsid w:val="003248F0"/>
    <w:rsid w:val="00324AF7"/>
    <w:rsid w:val="003250FA"/>
    <w:rsid w:val="00343EBC"/>
    <w:rsid w:val="00344546"/>
    <w:rsid w:val="003C7D8F"/>
    <w:rsid w:val="00415226"/>
    <w:rsid w:val="00434DC9"/>
    <w:rsid w:val="004518DB"/>
    <w:rsid w:val="0045661E"/>
    <w:rsid w:val="004A74A9"/>
    <w:rsid w:val="004C6CCC"/>
    <w:rsid w:val="004D5AB1"/>
    <w:rsid w:val="005010DC"/>
    <w:rsid w:val="005016B7"/>
    <w:rsid w:val="00530FA0"/>
    <w:rsid w:val="00567F44"/>
    <w:rsid w:val="00584D46"/>
    <w:rsid w:val="005C7D66"/>
    <w:rsid w:val="00614708"/>
    <w:rsid w:val="00626D67"/>
    <w:rsid w:val="00642B18"/>
    <w:rsid w:val="00644418"/>
    <w:rsid w:val="00664474"/>
    <w:rsid w:val="0068114F"/>
    <w:rsid w:val="006E07CF"/>
    <w:rsid w:val="006E0C52"/>
    <w:rsid w:val="007278BC"/>
    <w:rsid w:val="00795945"/>
    <w:rsid w:val="007A76F8"/>
    <w:rsid w:val="007E6858"/>
    <w:rsid w:val="00801556"/>
    <w:rsid w:val="00804E59"/>
    <w:rsid w:val="008266D9"/>
    <w:rsid w:val="008302E9"/>
    <w:rsid w:val="00832E67"/>
    <w:rsid w:val="00861B88"/>
    <w:rsid w:val="00866500"/>
    <w:rsid w:val="008678E4"/>
    <w:rsid w:val="0090557B"/>
    <w:rsid w:val="0093690D"/>
    <w:rsid w:val="00943ECB"/>
    <w:rsid w:val="00946058"/>
    <w:rsid w:val="00970AFF"/>
    <w:rsid w:val="009C3B99"/>
    <w:rsid w:val="009F6CFD"/>
    <w:rsid w:val="00A173E5"/>
    <w:rsid w:val="00A759E5"/>
    <w:rsid w:val="00AE371F"/>
    <w:rsid w:val="00AF647F"/>
    <w:rsid w:val="00B044A7"/>
    <w:rsid w:val="00B17B1F"/>
    <w:rsid w:val="00B24FF9"/>
    <w:rsid w:val="00B34D6D"/>
    <w:rsid w:val="00B95C1B"/>
    <w:rsid w:val="00BB1FB1"/>
    <w:rsid w:val="00BB7F92"/>
    <w:rsid w:val="00BE0012"/>
    <w:rsid w:val="00C2373A"/>
    <w:rsid w:val="00C75163"/>
    <w:rsid w:val="00C83B5C"/>
    <w:rsid w:val="00C85A88"/>
    <w:rsid w:val="00C874B4"/>
    <w:rsid w:val="00C9169D"/>
    <w:rsid w:val="00C9415E"/>
    <w:rsid w:val="00CE4B92"/>
    <w:rsid w:val="00D04CD5"/>
    <w:rsid w:val="00D30B93"/>
    <w:rsid w:val="00D37028"/>
    <w:rsid w:val="00D377C4"/>
    <w:rsid w:val="00D544C3"/>
    <w:rsid w:val="00D57DDE"/>
    <w:rsid w:val="00D6780B"/>
    <w:rsid w:val="00E07D32"/>
    <w:rsid w:val="00E63C30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E5295"/>
    <w:rsid w:val="00FF4890"/>
    <w:rsid w:val="177ED851"/>
    <w:rsid w:val="233FBD07"/>
    <w:rsid w:val="59D0B63E"/>
    <w:rsid w:val="67B0B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QYJ6VK6WDPCP-2026886553-439897</_dlc_DocId>
    <_dlc_DocIdUrl xmlns="9d0ca0cf-2a35-4d1a-8451-71dcfb90f667">
      <Url>https://skolahostivar.sharepoint.com/sites/data/_layouts/15/DocIdRedir.aspx?ID=QYJ6VK6WDPCP-2026886553-439897</Url>
      <Description>QYJ6VK6WDPCP-2026886553-439897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ADC51D-A501-4470-9C47-F7EC99A7B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19</revision>
  <dcterms:created xsi:type="dcterms:W3CDTF">2025-05-30T19:27:00.0000000Z</dcterms:created>
  <dcterms:modified xsi:type="dcterms:W3CDTF">2025-10-05T07:27:13.9744980Z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0a289557-e4ea-4632-8540-bdd2e43fbc19</vt:lpwstr>
  </property>
  <property fmtid="{D5CDD505-2E9C-101B-9397-08002B2CF9AE}" pid="5" name="MediaServiceImageTags">
    <vt:lpwstr/>
  </property>
</Properties>
</file>